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B54B" w14:textId="77777777" w:rsidR="00B72E6B" w:rsidRDefault="00B72E6B" w:rsidP="00990A3A">
      <w:pPr>
        <w:spacing w:after="0" w:line="240" w:lineRule="auto"/>
        <w:rPr>
          <w:rFonts w:ascii="Times New Roman" w:eastAsia="Times New Roman" w:hAnsi="Times New Roman" w:cs="Times New Roman"/>
          <w:sz w:val="30"/>
          <w:szCs w:val="30"/>
        </w:rPr>
      </w:pPr>
    </w:p>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11BAA23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2F5C1FB" w14:textId="77777777" w:rsidR="00B72E6B" w:rsidRDefault="00B72E6B" w:rsidP="0088622E">
      <w:pPr>
        <w:rPr>
          <w:rFonts w:ascii="Times New Roman" w:eastAsia="Times New Roman" w:hAnsi="Times New Roman" w:cs="Times New Roman"/>
          <w:b/>
          <w:sz w:val="28"/>
          <w:szCs w:val="28"/>
        </w:rPr>
      </w:pPr>
    </w:p>
    <w:p w14:paraId="78F381D7" w14:textId="6661F1C9" w:rsidR="00342800"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003D24" w:rsidRPr="00C9629D">
        <w:rPr>
          <w:rFonts w:ascii="Times New Roman" w:eastAsia="Times New Roman" w:hAnsi="Times New Roman" w:cs="Times New Roman"/>
          <w:b/>
          <w:sz w:val="28"/>
          <w:szCs w:val="28"/>
        </w:rPr>
        <w:t>Ju</w:t>
      </w:r>
      <w:r w:rsidR="00B11948">
        <w:rPr>
          <w:rFonts w:ascii="Times New Roman" w:eastAsia="Times New Roman" w:hAnsi="Times New Roman" w:cs="Times New Roman"/>
          <w:b/>
          <w:sz w:val="28"/>
          <w:szCs w:val="28"/>
        </w:rPr>
        <w:t xml:space="preserve">ly </w:t>
      </w:r>
      <w:r w:rsidR="005C19EB">
        <w:rPr>
          <w:rFonts w:ascii="Times New Roman" w:eastAsia="Times New Roman" w:hAnsi="Times New Roman" w:cs="Times New Roman"/>
          <w:b/>
          <w:sz w:val="28"/>
          <w:szCs w:val="28"/>
        </w:rPr>
        <w:t>11</w:t>
      </w:r>
      <w:r w:rsidR="00B11948" w:rsidRPr="00B11948">
        <w:rPr>
          <w:rFonts w:ascii="Times New Roman" w:eastAsia="Times New Roman" w:hAnsi="Times New Roman" w:cs="Times New Roman"/>
          <w:b/>
          <w:sz w:val="28"/>
          <w:szCs w:val="28"/>
          <w:vertAlign w:val="superscript"/>
        </w:rPr>
        <w:t>th</w:t>
      </w:r>
      <w:r w:rsidR="00B11948">
        <w:rPr>
          <w:rFonts w:ascii="Times New Roman" w:eastAsia="Times New Roman" w:hAnsi="Times New Roman" w:cs="Times New Roman"/>
          <w:b/>
          <w:sz w:val="28"/>
          <w:szCs w:val="28"/>
        </w:rPr>
        <w:t>,</w:t>
      </w:r>
      <w:r w:rsidRPr="00C9629D">
        <w:rPr>
          <w:rFonts w:ascii="Times New Roman" w:eastAsia="Times New Roman" w:hAnsi="Times New Roman" w:cs="Times New Roman"/>
          <w:b/>
          <w:sz w:val="28"/>
          <w:szCs w:val="28"/>
        </w:rPr>
        <w:t xml:space="preserve"> 2020</w:t>
      </w:r>
      <w:r w:rsidR="00237C3D" w:rsidRPr="00C9629D">
        <w:rPr>
          <w:rFonts w:ascii="Times New Roman" w:eastAsia="Times New Roman" w:hAnsi="Times New Roman" w:cs="Times New Roman"/>
          <w:b/>
          <w:sz w:val="28"/>
          <w:szCs w:val="28"/>
        </w:rPr>
        <w:t xml:space="preserve"> </w:t>
      </w:r>
      <w:r w:rsidR="00901E85">
        <w:rPr>
          <w:rFonts w:ascii="Times New Roman" w:eastAsia="Times New Roman" w:hAnsi="Times New Roman" w:cs="Times New Roman"/>
          <w:b/>
          <w:sz w:val="28"/>
          <w:szCs w:val="28"/>
        </w:rPr>
        <w:t xml:space="preserve">– Retail Trade Drives </w:t>
      </w:r>
      <w:r w:rsidR="008D5E26">
        <w:rPr>
          <w:rFonts w:ascii="Times New Roman" w:eastAsia="Times New Roman" w:hAnsi="Times New Roman" w:cs="Times New Roman"/>
          <w:b/>
          <w:sz w:val="28"/>
          <w:szCs w:val="28"/>
        </w:rPr>
        <w:t xml:space="preserve">New </w:t>
      </w:r>
      <w:r w:rsidR="00EE098C">
        <w:rPr>
          <w:rFonts w:ascii="Times New Roman" w:eastAsia="Times New Roman" w:hAnsi="Times New Roman" w:cs="Times New Roman"/>
          <w:b/>
          <w:sz w:val="28"/>
          <w:szCs w:val="28"/>
        </w:rPr>
        <w:t xml:space="preserve">Posting </w:t>
      </w:r>
      <w:r w:rsidR="008D5E26">
        <w:rPr>
          <w:rFonts w:ascii="Times New Roman" w:eastAsia="Times New Roman" w:hAnsi="Times New Roman" w:cs="Times New Roman"/>
          <w:b/>
          <w:sz w:val="28"/>
          <w:szCs w:val="28"/>
        </w:rPr>
        <w:t xml:space="preserve">Increase </w:t>
      </w:r>
      <w:proofErr w:type="gramStart"/>
      <w:r w:rsidR="00901E85">
        <w:rPr>
          <w:rFonts w:ascii="Times New Roman" w:eastAsia="Times New Roman" w:hAnsi="Times New Roman" w:cs="Times New Roman"/>
          <w:b/>
          <w:sz w:val="28"/>
          <w:szCs w:val="28"/>
        </w:rPr>
        <w:t>Over</w:t>
      </w:r>
      <w:proofErr w:type="gramEnd"/>
      <w:r w:rsidR="00901E85">
        <w:rPr>
          <w:rFonts w:ascii="Times New Roman" w:eastAsia="Times New Roman" w:hAnsi="Times New Roman" w:cs="Times New Roman"/>
          <w:b/>
          <w:sz w:val="28"/>
          <w:szCs w:val="28"/>
        </w:rPr>
        <w:t xml:space="preserve"> the Week</w:t>
      </w:r>
    </w:p>
    <w:p w14:paraId="3FF5C71E" w14:textId="2B56CD98" w:rsidR="00316518" w:rsidRDefault="002409CC" w:rsidP="00316518">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J</w:t>
      </w:r>
      <w:r w:rsidR="001F193F">
        <w:rPr>
          <w:rFonts w:ascii="Calibri" w:hAnsi="Calibri" w:cs="Calibri"/>
          <w:color w:val="000000"/>
          <w:shd w:val="clear" w:color="auto" w:fill="FFFFFF"/>
        </w:rPr>
        <w:t xml:space="preserve">uly </w:t>
      </w:r>
      <w:r w:rsidR="00B11948">
        <w:rPr>
          <w:rFonts w:ascii="Calibri" w:hAnsi="Calibri" w:cs="Calibri"/>
          <w:color w:val="000000"/>
          <w:shd w:val="clear" w:color="auto" w:fill="FFFFFF"/>
        </w:rPr>
        <w:t>1</w:t>
      </w:r>
      <w:r w:rsidR="005C19EB">
        <w:rPr>
          <w:rFonts w:ascii="Calibri" w:hAnsi="Calibri" w:cs="Calibri"/>
          <w:color w:val="000000"/>
          <w:shd w:val="clear" w:color="auto" w:fill="FFFFFF"/>
        </w:rPr>
        <w:t>7</w:t>
      </w:r>
      <w:r w:rsidR="005C19EB">
        <w:rPr>
          <w:rFonts w:ascii="Calibri" w:hAnsi="Calibri" w:cs="Calibri"/>
          <w:color w:val="000000"/>
          <w:shd w:val="clear" w:color="auto" w:fill="FFFFFF"/>
          <w:vertAlign w:val="superscript"/>
        </w:rPr>
        <w:t>th</w:t>
      </w:r>
      <w:r w:rsidR="001F193F">
        <w:rPr>
          <w:rFonts w:ascii="Calibri" w:hAnsi="Calibri" w:cs="Calibri"/>
          <w:color w:val="000000"/>
          <w:shd w:val="clear" w:color="auto" w:fill="FFFFFF"/>
        </w:rPr>
        <w:t>,</w:t>
      </w:r>
      <w:r w:rsidR="00C12EEA" w:rsidRPr="008B0045">
        <w:rPr>
          <w:rFonts w:ascii="Calibri" w:hAnsi="Calibri" w:cs="Calibri"/>
          <w:color w:val="000000"/>
          <w:shd w:val="clear" w:color="auto" w:fill="FFFFFF"/>
        </w:rPr>
        <w:t xml:space="preserve">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Ju</w:t>
      </w:r>
      <w:r w:rsidR="00B11948">
        <w:rPr>
          <w:rFonts w:cstheme="minorHAnsi"/>
          <w:color w:val="000000"/>
          <w:shd w:val="clear" w:color="auto" w:fill="FFFFFF"/>
        </w:rPr>
        <w:t xml:space="preserve">ly </w:t>
      </w:r>
      <w:r w:rsidR="005C19EB">
        <w:rPr>
          <w:rFonts w:cstheme="minorHAnsi"/>
          <w:color w:val="000000"/>
          <w:shd w:val="clear" w:color="auto" w:fill="FFFFFF"/>
        </w:rPr>
        <w:t>11</w:t>
      </w:r>
      <w:r w:rsidR="005C19EB" w:rsidRPr="005C19EB">
        <w:rPr>
          <w:rFonts w:cstheme="minorHAnsi"/>
          <w:color w:val="000000"/>
          <w:shd w:val="clear" w:color="auto" w:fill="FFFFFF"/>
          <w:vertAlign w:val="superscript"/>
        </w:rPr>
        <w:t>th</w:t>
      </w:r>
      <w:r w:rsidR="001F193F">
        <w:rPr>
          <w:rFonts w:cstheme="minorHAnsi"/>
          <w:color w:val="000000"/>
          <w:shd w:val="clear" w:color="auto" w:fill="FFFFFF"/>
        </w:rPr>
        <w:t>,</w:t>
      </w:r>
      <w:r w:rsidR="000D7D50">
        <w:rPr>
          <w:rFonts w:cstheme="minorHAnsi"/>
          <w:color w:val="000000"/>
          <w:shd w:val="clear" w:color="auto" w:fill="FFFFFF"/>
        </w:rPr>
        <w:t xml:space="preserve">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B11948">
        <w:rPr>
          <w:rFonts w:cstheme="minorHAnsi"/>
          <w:color w:val="000000"/>
          <w:shd w:val="clear" w:color="auto" w:fill="FFFFFF"/>
        </w:rPr>
        <w:t>4,</w:t>
      </w:r>
      <w:r w:rsidR="00827BA1">
        <w:rPr>
          <w:rFonts w:cstheme="minorHAnsi"/>
          <w:color w:val="000000"/>
          <w:shd w:val="clear" w:color="auto" w:fill="FFFFFF"/>
        </w:rPr>
        <w:t>755</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A54D63">
        <w:rPr>
          <w:rFonts w:cstheme="minorHAnsi"/>
          <w:color w:val="000000"/>
          <w:shd w:val="clear" w:color="auto" w:fill="FFFFFF"/>
        </w:rPr>
        <w:t xml:space="preserve">  New postings are</w:t>
      </w:r>
      <w:r w:rsidR="00827BA1">
        <w:rPr>
          <w:rFonts w:cstheme="minorHAnsi"/>
          <w:color w:val="000000"/>
          <w:shd w:val="clear" w:color="auto" w:fill="FFFFFF"/>
        </w:rPr>
        <w:t xml:space="preserve"> up 8%</w:t>
      </w:r>
      <w:r w:rsidR="00A54D63">
        <w:rPr>
          <w:rFonts w:cstheme="minorHAnsi"/>
          <w:color w:val="000000"/>
          <w:shd w:val="clear" w:color="auto" w:fill="FFFFFF"/>
        </w:rPr>
        <w:t xml:space="preserve"> from a week ago</w:t>
      </w:r>
      <w:r w:rsidR="00B11948">
        <w:rPr>
          <w:rFonts w:cstheme="minorHAnsi"/>
          <w:color w:val="000000"/>
          <w:shd w:val="clear" w:color="auto" w:fill="FFFFFF"/>
        </w:rPr>
        <w:t xml:space="preserve">, </w:t>
      </w:r>
      <w:r w:rsidR="00827BA1">
        <w:rPr>
          <w:rFonts w:cstheme="minorHAnsi"/>
          <w:color w:val="000000"/>
          <w:shd w:val="clear" w:color="auto" w:fill="FFFFFF"/>
        </w:rPr>
        <w:t xml:space="preserve">but </w:t>
      </w:r>
      <w:r w:rsidR="00B11948">
        <w:rPr>
          <w:rFonts w:cstheme="minorHAnsi"/>
          <w:color w:val="000000"/>
          <w:shd w:val="clear" w:color="auto" w:fill="FFFFFF"/>
        </w:rPr>
        <w:t>down 2</w:t>
      </w:r>
      <w:r w:rsidR="00827BA1">
        <w:rPr>
          <w:rFonts w:cstheme="minorHAnsi"/>
          <w:color w:val="000000"/>
          <w:shd w:val="clear" w:color="auto" w:fill="FFFFFF"/>
        </w:rPr>
        <w:t>2</w:t>
      </w:r>
      <w:r w:rsidR="00B11948">
        <w:rPr>
          <w:rFonts w:cstheme="minorHAnsi"/>
          <w:color w:val="000000"/>
          <w:shd w:val="clear" w:color="auto" w:fill="FFFFFF"/>
        </w:rPr>
        <w:t>% from</w:t>
      </w:r>
      <w:r w:rsidR="00A54D63">
        <w:rPr>
          <w:rFonts w:cstheme="minorHAnsi"/>
          <w:color w:val="000000"/>
          <w:shd w:val="clear" w:color="auto" w:fill="FFFFFF"/>
        </w:rPr>
        <w:t xml:space="preserve"> 4 weeks</w:t>
      </w:r>
      <w:r w:rsidR="00B11948">
        <w:rPr>
          <w:rFonts w:cstheme="minorHAnsi"/>
          <w:color w:val="000000"/>
          <w:shd w:val="clear" w:color="auto" w:fill="FFFFFF"/>
        </w:rPr>
        <w:t xml:space="preserve"> ago</w:t>
      </w:r>
      <w:r w:rsidR="00827BA1">
        <w:rPr>
          <w:rFonts w:cstheme="minorHAnsi"/>
          <w:color w:val="000000"/>
          <w:shd w:val="clear" w:color="auto" w:fill="FFFFFF"/>
        </w:rPr>
        <w:t xml:space="preserve">.  </w:t>
      </w:r>
      <w:r w:rsidR="00597C35">
        <w:rPr>
          <w:rFonts w:cstheme="minorHAnsi"/>
          <w:color w:val="000000"/>
          <w:shd w:val="clear" w:color="auto" w:fill="FFFFFF"/>
        </w:rPr>
        <w:t>This</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top line </w:t>
      </w:r>
      <w:r w:rsidR="00827BA1">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w:t>
      </w:r>
      <w:r w:rsidR="00342800">
        <w:rPr>
          <w:rFonts w:cstheme="minorHAnsi"/>
          <w:color w:val="000000"/>
          <w:shd w:val="clear" w:color="auto" w:fill="FFFFFF"/>
        </w:rPr>
        <w:t>y Retail Trade (</w:t>
      </w:r>
      <w:r w:rsidR="00827BA1">
        <w:rPr>
          <w:rFonts w:cstheme="minorHAnsi"/>
          <w:color w:val="000000"/>
          <w:shd w:val="clear" w:color="auto" w:fill="FFFFFF"/>
        </w:rPr>
        <w:t xml:space="preserve">+480 </w:t>
      </w:r>
      <w:r w:rsidR="00342800">
        <w:rPr>
          <w:rFonts w:cstheme="minorHAnsi"/>
          <w:color w:val="000000"/>
          <w:shd w:val="clear" w:color="auto" w:fill="FFFFFF"/>
        </w:rPr>
        <w:t xml:space="preserve">new postings or </w:t>
      </w:r>
      <w:r w:rsidR="00827BA1">
        <w:rPr>
          <w:rFonts w:cstheme="minorHAnsi"/>
          <w:color w:val="000000"/>
          <w:shd w:val="clear" w:color="auto" w:fill="FFFFFF"/>
        </w:rPr>
        <w:t>+110</w:t>
      </w:r>
      <w:r w:rsidR="00342800">
        <w:rPr>
          <w:rFonts w:cstheme="minorHAnsi"/>
          <w:color w:val="000000"/>
          <w:shd w:val="clear" w:color="auto" w:fill="FFFFFF"/>
        </w:rPr>
        <w:t xml:space="preserve">%), </w:t>
      </w:r>
      <w:r w:rsidR="00827BA1">
        <w:rPr>
          <w:rFonts w:cstheme="minorHAnsi"/>
          <w:color w:val="000000"/>
          <w:shd w:val="clear" w:color="auto" w:fill="FFFFFF"/>
        </w:rPr>
        <w:t xml:space="preserve">Other Services (+55 new postings or +93%) and Manufacturing (+52 new postings or +24%). </w:t>
      </w:r>
      <w:r w:rsidR="00D85328">
        <w:rPr>
          <w:rFonts w:cstheme="minorHAnsi"/>
          <w:color w:val="000000"/>
          <w:shd w:val="clear" w:color="auto" w:fill="FFFFFF"/>
        </w:rPr>
        <w:t>I</w:t>
      </w:r>
      <w:r w:rsidR="00237C3D">
        <w:rPr>
          <w:rFonts w:cstheme="minorHAnsi"/>
          <w:color w:val="000000"/>
          <w:shd w:val="clear" w:color="auto" w:fill="FFFFFF"/>
        </w:rPr>
        <w:t>ndustries with the largest one</w:t>
      </w:r>
      <w:r w:rsidR="00146D43">
        <w:rPr>
          <w:rFonts w:cstheme="minorHAnsi"/>
          <w:color w:val="000000"/>
          <w:shd w:val="clear" w:color="auto" w:fill="FFFFFF"/>
        </w:rPr>
        <w:t xml:space="preserve">-week </w:t>
      </w:r>
      <w:r w:rsidR="00D65E80">
        <w:rPr>
          <w:rFonts w:cstheme="minorHAnsi"/>
          <w:color w:val="000000"/>
          <w:shd w:val="clear" w:color="auto" w:fill="FFFFFF"/>
        </w:rPr>
        <w:t>de</w:t>
      </w:r>
      <w:r w:rsidR="00146D43">
        <w:rPr>
          <w:rFonts w:cstheme="minorHAnsi"/>
          <w:color w:val="000000"/>
          <w:shd w:val="clear" w:color="auto" w:fill="FFFFFF"/>
        </w:rPr>
        <w:t>creases were</w:t>
      </w:r>
      <w:r w:rsidR="0095746D">
        <w:rPr>
          <w:rFonts w:cstheme="minorHAnsi"/>
          <w:color w:val="000000"/>
          <w:shd w:val="clear" w:color="auto" w:fill="FFFFFF"/>
        </w:rPr>
        <w:t xml:space="preserve"> </w:t>
      </w:r>
      <w:r w:rsidR="00342800">
        <w:rPr>
          <w:rFonts w:cstheme="minorHAnsi"/>
          <w:color w:val="000000"/>
          <w:shd w:val="clear" w:color="auto" w:fill="FFFFFF"/>
        </w:rPr>
        <w:t xml:space="preserve">Transportation &amp; Warehousing </w:t>
      </w:r>
      <w:r w:rsidR="0095746D">
        <w:rPr>
          <w:rFonts w:cstheme="minorHAnsi"/>
          <w:color w:val="000000"/>
          <w:shd w:val="clear" w:color="auto" w:fill="FFFFFF"/>
        </w:rPr>
        <w:t>(</w:t>
      </w:r>
      <w:r w:rsidR="00D65E80">
        <w:rPr>
          <w:rFonts w:cstheme="minorHAnsi"/>
          <w:color w:val="000000"/>
          <w:shd w:val="clear" w:color="auto" w:fill="FFFFFF"/>
        </w:rPr>
        <w:t>-335</w:t>
      </w:r>
      <w:r w:rsidR="0095746D">
        <w:rPr>
          <w:rFonts w:cstheme="minorHAnsi"/>
          <w:color w:val="000000"/>
          <w:shd w:val="clear" w:color="auto" w:fill="FFFFFF"/>
        </w:rPr>
        <w:t xml:space="preserve"> new postings or</w:t>
      </w:r>
      <w:r w:rsidR="00316518">
        <w:rPr>
          <w:rFonts w:cstheme="minorHAnsi"/>
          <w:color w:val="000000"/>
          <w:shd w:val="clear" w:color="auto" w:fill="FFFFFF"/>
        </w:rPr>
        <w:t xml:space="preserve">       </w:t>
      </w:r>
      <w:r w:rsidR="00D65E80">
        <w:rPr>
          <w:rFonts w:cstheme="minorHAnsi"/>
          <w:color w:val="000000"/>
          <w:shd w:val="clear" w:color="auto" w:fill="FFFFFF"/>
        </w:rPr>
        <w:t>-71%</w:t>
      </w:r>
      <w:r w:rsidR="0095746D">
        <w:rPr>
          <w:rFonts w:cstheme="minorHAnsi"/>
          <w:color w:val="000000"/>
          <w:shd w:val="clear" w:color="auto" w:fill="FFFFFF"/>
        </w:rPr>
        <w:t>)</w:t>
      </w:r>
      <w:r w:rsidR="00316518">
        <w:rPr>
          <w:rFonts w:cstheme="minorHAnsi"/>
          <w:color w:val="000000"/>
          <w:shd w:val="clear" w:color="auto" w:fill="FFFFFF"/>
        </w:rPr>
        <w:t>,</w:t>
      </w:r>
      <w:r w:rsidR="0095746D">
        <w:rPr>
          <w:rFonts w:cstheme="minorHAnsi"/>
          <w:color w:val="000000"/>
          <w:shd w:val="clear" w:color="auto" w:fill="FFFFFF"/>
        </w:rPr>
        <w:t xml:space="preserve"> </w:t>
      </w:r>
      <w:r w:rsidR="00342800">
        <w:rPr>
          <w:rFonts w:cstheme="minorHAnsi"/>
          <w:color w:val="000000"/>
          <w:shd w:val="clear" w:color="auto" w:fill="FFFFFF"/>
        </w:rPr>
        <w:t>Utilities</w:t>
      </w:r>
      <w:r w:rsidR="0095746D">
        <w:rPr>
          <w:rFonts w:cstheme="minorHAnsi"/>
          <w:color w:val="000000"/>
          <w:shd w:val="clear" w:color="auto" w:fill="FFFFFF"/>
        </w:rPr>
        <w:t xml:space="preserve"> (</w:t>
      </w:r>
      <w:r w:rsidR="00D65E80">
        <w:rPr>
          <w:rFonts w:cstheme="minorHAnsi"/>
          <w:color w:val="000000"/>
          <w:shd w:val="clear" w:color="auto" w:fill="FFFFFF"/>
        </w:rPr>
        <w:t>-42</w:t>
      </w:r>
      <w:r w:rsidR="0095746D">
        <w:rPr>
          <w:rFonts w:cstheme="minorHAnsi"/>
          <w:color w:val="000000"/>
          <w:shd w:val="clear" w:color="auto" w:fill="FFFFFF"/>
        </w:rPr>
        <w:t xml:space="preserve"> new postings or </w:t>
      </w:r>
      <w:r w:rsidR="00D65E80">
        <w:rPr>
          <w:rFonts w:cstheme="minorHAnsi"/>
          <w:color w:val="000000"/>
          <w:shd w:val="clear" w:color="auto" w:fill="FFFFFF"/>
        </w:rPr>
        <w:t>75</w:t>
      </w:r>
      <w:r w:rsidR="0095746D">
        <w:rPr>
          <w:rFonts w:cstheme="minorHAnsi"/>
          <w:color w:val="000000"/>
          <w:shd w:val="clear" w:color="auto" w:fill="FFFFFF"/>
        </w:rPr>
        <w:t>%)</w:t>
      </w:r>
      <w:r w:rsidR="00316518">
        <w:rPr>
          <w:rFonts w:cstheme="minorHAnsi"/>
          <w:color w:val="000000"/>
          <w:shd w:val="clear" w:color="auto" w:fill="FFFFFF"/>
        </w:rPr>
        <w:t>,</w:t>
      </w:r>
      <w:r w:rsidR="00D65E80">
        <w:rPr>
          <w:rFonts w:cstheme="minorHAnsi"/>
          <w:color w:val="000000"/>
          <w:shd w:val="clear" w:color="auto" w:fill="FFFFFF"/>
        </w:rPr>
        <w:t xml:space="preserve"> and Professional, Scientific, and Technical Services (-42 new postings or -20%).  </w:t>
      </w:r>
      <w:r w:rsidR="00D65E80">
        <w:rPr>
          <w:rFonts w:cstheme="minorHAnsi"/>
          <w:color w:val="000000"/>
          <w:shd w:val="clear" w:color="auto" w:fill="FFFFFF"/>
        </w:rPr>
        <w:br/>
        <w:t xml:space="preserve">New </w:t>
      </w:r>
      <w:r w:rsidR="00316518">
        <w:rPr>
          <w:rFonts w:cstheme="minorHAnsi"/>
          <w:color w:val="000000"/>
          <w:shd w:val="clear" w:color="auto" w:fill="FFFFFF"/>
        </w:rPr>
        <w:t xml:space="preserve">weekly job ads for the month of June through the second week of July </w:t>
      </w:r>
      <w:r w:rsidR="00D65E80">
        <w:rPr>
          <w:rFonts w:cstheme="minorHAnsi"/>
          <w:color w:val="000000"/>
          <w:shd w:val="clear" w:color="auto" w:fill="FFFFFF"/>
        </w:rPr>
        <w:t>have been consistently above levels from April and May</w:t>
      </w:r>
      <w:r w:rsidR="00316518">
        <w:rPr>
          <w:rFonts w:cstheme="minorHAnsi"/>
          <w:color w:val="000000"/>
          <w:shd w:val="clear" w:color="auto" w:fill="FFFFFF"/>
        </w:rPr>
        <w:t xml:space="preserve"> of this year.  Though new ads are currently below levels from early March, they</w:t>
      </w:r>
      <w:r w:rsidR="00EE098C">
        <w:rPr>
          <w:rFonts w:cstheme="minorHAnsi"/>
          <w:color w:val="000000"/>
          <w:shd w:val="clear" w:color="auto" w:fill="FFFFFF"/>
        </w:rPr>
        <w:t xml:space="preserve"> are</w:t>
      </w:r>
      <w:r w:rsidR="00316518">
        <w:rPr>
          <w:rFonts w:cstheme="minorHAnsi"/>
          <w:color w:val="000000"/>
          <w:shd w:val="clear" w:color="auto" w:fill="FFFFFF"/>
        </w:rPr>
        <w:t xml:space="preserve"> up 113% from 52 weeks ago.</w:t>
      </w:r>
      <w:r w:rsidR="00D65E80">
        <w:rPr>
          <w:rFonts w:cstheme="minorHAnsi"/>
          <w:color w:val="000000"/>
          <w:shd w:val="clear" w:color="auto" w:fill="FFFFFF"/>
        </w:rPr>
        <w:t xml:space="preserve"> </w:t>
      </w:r>
    </w:p>
    <w:p w14:paraId="12DD400D" w14:textId="4FFBBBEB" w:rsidR="0088622E" w:rsidRDefault="002810F5" w:rsidP="0088622E">
      <w:pPr>
        <w:rPr>
          <w:rFonts w:ascii="Calibri" w:hAnsi="Calibri" w:cs="Calibri"/>
          <w:color w:val="000000"/>
          <w:shd w:val="clear" w:color="auto" w:fill="FFFFFF"/>
        </w:rPr>
      </w:pPr>
      <w:r>
        <w:rPr>
          <w:rFonts w:cstheme="minorHAnsi"/>
          <w:color w:val="000000"/>
          <w:shd w:val="clear" w:color="auto" w:fill="FFFFFF"/>
        </w:rPr>
        <w:br/>
      </w:r>
      <w:r w:rsidR="000D7D50">
        <w:rPr>
          <w:rFonts w:eastAsia="Times New Roman" w:cstheme="minorHAnsi"/>
        </w:rPr>
        <w:br/>
      </w:r>
      <w:r w:rsidR="00A217F2">
        <w:rPr>
          <w:noProof/>
        </w:rPr>
        <w:drawing>
          <wp:inline distT="0" distB="0" distL="0" distR="0" wp14:anchorId="3023687F" wp14:editId="2515CB25">
            <wp:extent cx="6847840" cy="2592705"/>
            <wp:effectExtent l="0" t="0" r="10160" b="17145"/>
            <wp:docPr id="6" name="Chart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A1CAAC-1E0C-4D9F-82BD-651AD651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4E99C0D4"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w:t>
      </w:r>
      <w:r w:rsidR="00654C4A">
        <w:rPr>
          <w:rFonts w:ascii="Calibri" w:hAnsi="Calibri" w:cs="Calibri"/>
          <w:color w:val="000000"/>
          <w:shd w:val="clear" w:color="auto" w:fill="FFFFFF"/>
        </w:rPr>
        <w:t xml:space="preserve"> Retail Trade,</w:t>
      </w:r>
      <w:r>
        <w:rPr>
          <w:rFonts w:ascii="Calibri" w:hAnsi="Calibri" w:cs="Calibri"/>
          <w:color w:val="000000"/>
          <w:shd w:val="clear" w:color="auto" w:fill="FFFFFF"/>
        </w:rPr>
        <w:t xml:space="preserve"> Health &amp; Social Assistance, </w:t>
      </w:r>
      <w:r w:rsidR="00654C4A">
        <w:rPr>
          <w:rFonts w:ascii="Calibri" w:hAnsi="Calibri" w:cs="Calibri"/>
          <w:color w:val="000000"/>
          <w:shd w:val="clear" w:color="auto" w:fill="FFFFFF"/>
        </w:rPr>
        <w:t>and Finance &amp; Insurance</w:t>
      </w:r>
      <w:r w:rsidR="0065318A">
        <w:rPr>
          <w:rFonts w:ascii="Calibri" w:hAnsi="Calibri" w:cs="Calibri"/>
          <w:color w:val="000000"/>
          <w:shd w:val="clear" w:color="auto" w:fill="FFFFFF"/>
        </w:rPr>
        <w:t>.</w:t>
      </w:r>
    </w:p>
    <w:p w14:paraId="33476C52" w14:textId="034F9F1E"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 xml:space="preserve">with the most new postings include </w:t>
      </w:r>
      <w:r w:rsidR="00654C4A">
        <w:rPr>
          <w:rFonts w:ascii="Calibri" w:hAnsi="Calibri" w:cs="Calibri"/>
          <w:color w:val="000000"/>
          <w:shd w:val="clear" w:color="auto" w:fill="FFFFFF"/>
        </w:rPr>
        <w:t>Supervisors of Retail Sales Workers</w:t>
      </w:r>
      <w:r w:rsidR="00B11948">
        <w:rPr>
          <w:rFonts w:ascii="Calibri" w:hAnsi="Calibri" w:cs="Calibri"/>
          <w:color w:val="000000"/>
          <w:shd w:val="clear" w:color="auto" w:fill="FFFFFF"/>
        </w:rPr>
        <w:t>,</w:t>
      </w:r>
      <w:r w:rsidR="00654C4A">
        <w:rPr>
          <w:rFonts w:ascii="Calibri" w:hAnsi="Calibri" w:cs="Calibri"/>
          <w:color w:val="000000"/>
          <w:shd w:val="clear" w:color="auto" w:fill="FFFFFF"/>
        </w:rPr>
        <w:t xml:space="preserve"> Retail Salespersons, and</w:t>
      </w:r>
      <w:r w:rsidR="00B11948">
        <w:rPr>
          <w:rFonts w:ascii="Calibri" w:hAnsi="Calibri" w:cs="Calibri"/>
          <w:color w:val="000000"/>
          <w:shd w:val="clear" w:color="auto" w:fill="FFFFFF"/>
        </w:rPr>
        <w:t xml:space="preserve"> Registered Nurses</w:t>
      </w:r>
      <w:r w:rsidR="00654C4A">
        <w:rPr>
          <w:rFonts w:ascii="Calibri" w:hAnsi="Calibri" w:cs="Calibri"/>
          <w:color w:val="000000"/>
          <w:shd w:val="clear" w:color="auto" w:fill="FFFFFF"/>
        </w:rPr>
        <w:t>.</w:t>
      </w:r>
    </w:p>
    <w:p w14:paraId="00B58E16" w14:textId="691F9BD0" w:rsidR="00543012" w:rsidRDefault="00DB1461">
      <w:pPr>
        <w:rPr>
          <w:rFonts w:ascii="Calibri" w:hAnsi="Calibri" w:cs="Calibri"/>
          <w:b/>
          <w:color w:val="000000"/>
          <w:sz w:val="28"/>
          <w:szCs w:val="28"/>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EE098C">
        <w:rPr>
          <w:rFonts w:ascii="Calibri" w:hAnsi="Calibri" w:cs="Calibri"/>
          <w:color w:val="000000"/>
          <w:shd w:val="clear" w:color="auto" w:fill="FFFFFF"/>
        </w:rPr>
        <w:t>The Home Depot</w:t>
      </w:r>
      <w:r w:rsidR="00B11948">
        <w:rPr>
          <w:rFonts w:ascii="Calibri" w:hAnsi="Calibri" w:cs="Calibri"/>
          <w:color w:val="000000"/>
          <w:shd w:val="clear" w:color="auto" w:fill="FFFFFF"/>
        </w:rPr>
        <w:t xml:space="preserve">, </w:t>
      </w:r>
      <w:r w:rsidR="00EE098C">
        <w:rPr>
          <w:rFonts w:ascii="Calibri" w:hAnsi="Calibri" w:cs="Calibri"/>
          <w:color w:val="000000"/>
          <w:shd w:val="clear" w:color="auto" w:fill="FFFFFF"/>
        </w:rPr>
        <w:t xml:space="preserve">Lowe’s, and </w:t>
      </w:r>
      <w:proofErr w:type="spellStart"/>
      <w:r w:rsidR="00EE098C">
        <w:rPr>
          <w:rFonts w:ascii="Calibri" w:hAnsi="Calibri" w:cs="Calibri"/>
          <w:color w:val="000000"/>
          <w:shd w:val="clear" w:color="auto" w:fill="FFFFFF"/>
        </w:rPr>
        <w:t>Aveanna</w:t>
      </w:r>
      <w:proofErr w:type="spellEnd"/>
      <w:r w:rsidR="00EE098C">
        <w:rPr>
          <w:rFonts w:ascii="Calibri" w:hAnsi="Calibri" w:cs="Calibri"/>
          <w:color w:val="000000"/>
          <w:shd w:val="clear" w:color="auto" w:fill="FFFFFF"/>
        </w:rPr>
        <w:t xml:space="preserve"> Healthcare.</w:t>
      </w:r>
      <w:bookmarkStart w:id="0" w:name="_GoBack"/>
      <w:bookmarkEnd w:id="0"/>
      <w:r w:rsidR="00543012">
        <w:rPr>
          <w:rFonts w:ascii="Calibri" w:hAnsi="Calibri" w:cs="Calibri"/>
          <w:b/>
          <w:color w:val="000000"/>
          <w:sz w:val="28"/>
          <w:szCs w:val="28"/>
          <w:shd w:val="clear" w:color="auto" w:fill="FFFFFF"/>
        </w:rPr>
        <w:br w:type="page"/>
      </w:r>
    </w:p>
    <w:p w14:paraId="3005E6CE" w14:textId="371CCE0E"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 xml:space="preserve">s </w:t>
      </w:r>
      <w:r w:rsidR="007910F0">
        <w:rPr>
          <w:rFonts w:eastAsia="Times New Roman" w:cstheme="minorHAnsi"/>
          <w:b/>
          <w:sz w:val="28"/>
          <w:szCs w:val="28"/>
        </w:rPr>
        <w:t>where</w:t>
      </w:r>
    </w:p>
    <w:p w14:paraId="4BFEB3FD" w14:textId="77777777" w:rsidR="00C679E2" w:rsidRDefault="00C679E2" w:rsidP="00C679E2">
      <w:pPr>
        <w:pStyle w:val="ListParagraph"/>
        <w:numPr>
          <w:ilvl w:val="0"/>
          <w:numId w:val="1"/>
        </w:numPr>
        <w:rPr>
          <w:rFonts w:eastAsia="Times New Roman" w:cstheme="minorHAnsi"/>
        </w:rPr>
      </w:pPr>
      <w:r>
        <w:rPr>
          <w:rFonts w:eastAsia="Times New Roman" w:cstheme="minorHAnsi"/>
          <w:b/>
          <w:bCs/>
        </w:rPr>
        <w:t>Retail Trade</w:t>
      </w:r>
      <w:r w:rsidRPr="0088622E">
        <w:rPr>
          <w:rFonts w:eastAsia="Times New Roman" w:cstheme="minorHAnsi"/>
        </w:rPr>
        <w:t xml:space="preserve"> (</w:t>
      </w:r>
      <w:r>
        <w:rPr>
          <w:rFonts w:eastAsia="Times New Roman" w:cstheme="minorHAnsi"/>
        </w:rPr>
        <w:t>915 new posting</w:t>
      </w:r>
      <w:r w:rsidRPr="0088622E">
        <w:rPr>
          <w:rFonts w:eastAsia="Times New Roman" w:cstheme="minorHAnsi"/>
        </w:rPr>
        <w:t>s,</w:t>
      </w:r>
      <w:r>
        <w:rPr>
          <w:rFonts w:eastAsia="Times New Roman" w:cstheme="minorHAnsi"/>
        </w:rPr>
        <w:t xml:space="preserve"> +110</w:t>
      </w:r>
      <w:r w:rsidRPr="0088622E">
        <w:rPr>
          <w:rFonts w:eastAsia="Times New Roman" w:cstheme="minorHAnsi"/>
        </w:rPr>
        <w:t>%</w:t>
      </w:r>
      <w:r>
        <w:rPr>
          <w:rFonts w:eastAsia="Times New Roman" w:cstheme="minorHAnsi"/>
        </w:rPr>
        <w:t xml:space="preserve"> over the week</w:t>
      </w:r>
      <w:r w:rsidRPr="0088622E">
        <w:rPr>
          <w:rFonts w:eastAsia="Times New Roman" w:cstheme="minorHAnsi"/>
        </w:rPr>
        <w:t>)</w:t>
      </w:r>
    </w:p>
    <w:p w14:paraId="71315F94" w14:textId="77FC4838"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C679E2">
        <w:rPr>
          <w:rFonts w:eastAsia="Times New Roman" w:cstheme="minorHAnsi"/>
        </w:rPr>
        <w:t>845</w:t>
      </w:r>
      <w:r w:rsidR="00237C3D">
        <w:rPr>
          <w:rFonts w:eastAsia="Times New Roman" w:cstheme="minorHAnsi"/>
        </w:rPr>
        <w:t xml:space="preserve"> new posting</w:t>
      </w:r>
      <w:r w:rsidRPr="0088622E">
        <w:rPr>
          <w:rFonts w:eastAsia="Times New Roman" w:cstheme="minorHAnsi"/>
        </w:rPr>
        <w:t xml:space="preserve">s, </w:t>
      </w:r>
      <w:r w:rsidR="00C679E2">
        <w:rPr>
          <w:rFonts w:eastAsia="Times New Roman" w:cstheme="minorHAnsi"/>
        </w:rPr>
        <w:t>+1</w:t>
      </w:r>
      <w:r w:rsidRPr="0088622E">
        <w:rPr>
          <w:rFonts w:eastAsia="Times New Roman" w:cstheme="minorHAnsi"/>
        </w:rPr>
        <w:t>%)</w:t>
      </w:r>
    </w:p>
    <w:p w14:paraId="635FEDE8" w14:textId="1E129C6C" w:rsidR="0088622E" w:rsidRDefault="00C679E2" w:rsidP="0088622E">
      <w:pPr>
        <w:pStyle w:val="ListParagraph"/>
        <w:numPr>
          <w:ilvl w:val="0"/>
          <w:numId w:val="1"/>
        </w:numPr>
        <w:rPr>
          <w:rFonts w:eastAsia="Times New Roman" w:cstheme="minorHAnsi"/>
        </w:rPr>
      </w:pPr>
      <w:r>
        <w:rPr>
          <w:rFonts w:eastAsia="Times New Roman" w:cstheme="minorHAnsi"/>
          <w:b/>
          <w:bCs/>
        </w:rPr>
        <w:t xml:space="preserve">Finance and Insurance </w:t>
      </w:r>
      <w:r w:rsidR="0088622E">
        <w:rPr>
          <w:rFonts w:eastAsia="Times New Roman" w:cstheme="minorHAnsi"/>
        </w:rPr>
        <w:t>(</w:t>
      </w:r>
      <w:r>
        <w:rPr>
          <w:rFonts w:eastAsia="Times New Roman" w:cstheme="minorHAnsi"/>
        </w:rPr>
        <w:t>323</w:t>
      </w:r>
      <w:r w:rsidR="00237C3D">
        <w:rPr>
          <w:rFonts w:eastAsia="Times New Roman" w:cstheme="minorHAnsi"/>
        </w:rPr>
        <w:t xml:space="preserve"> new posting</w:t>
      </w:r>
      <w:r w:rsidR="0088622E">
        <w:rPr>
          <w:rFonts w:eastAsia="Times New Roman" w:cstheme="minorHAnsi"/>
        </w:rPr>
        <w:t xml:space="preserve">s, </w:t>
      </w:r>
      <w:r>
        <w:rPr>
          <w:rFonts w:eastAsia="Times New Roman" w:cstheme="minorHAnsi"/>
        </w:rPr>
        <w:t>-1</w:t>
      </w:r>
      <w:r w:rsidR="0088622E">
        <w:rPr>
          <w:rFonts w:eastAsia="Times New Roman" w:cstheme="minorHAnsi"/>
        </w:rPr>
        <w:t>%)</w:t>
      </w:r>
    </w:p>
    <w:p w14:paraId="2336A768" w14:textId="1202A219" w:rsidR="00686CEC" w:rsidRDefault="00686CEC" w:rsidP="00B219BB">
      <w:r w:rsidRPr="00686CEC">
        <w:t xml:space="preserve"> </w:t>
      </w:r>
      <w:r w:rsidR="00C77024" w:rsidRPr="00C77024">
        <w:t xml:space="preserve"> </w:t>
      </w:r>
      <w:r w:rsidR="00C679E2" w:rsidRPr="00C679E2">
        <w:rPr>
          <w:noProof/>
        </w:rPr>
        <w:drawing>
          <wp:inline distT="0" distB="0" distL="0" distR="0" wp14:anchorId="0F56F496" wp14:editId="59259644">
            <wp:extent cx="6847840" cy="4380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380865"/>
                    </a:xfrm>
                    <a:prstGeom prst="rect">
                      <a:avLst/>
                    </a:prstGeom>
                    <a:noFill/>
                    <a:ln>
                      <a:noFill/>
                    </a:ln>
                  </pic:spPr>
                </pic:pic>
              </a:graphicData>
            </a:graphic>
          </wp:inline>
        </w:drawing>
      </w:r>
    </w:p>
    <w:p w14:paraId="73AC04ED" w14:textId="36CEBAEE" w:rsidR="001A6B33" w:rsidRDefault="00C679E2">
      <w:r>
        <w:rPr>
          <w:rFonts w:ascii="Calibri" w:hAnsi="Calibri" w:cs="Calibri"/>
          <w:color w:val="000000"/>
          <w:shd w:val="clear" w:color="auto" w:fill="FFFFFF"/>
        </w:rPr>
        <w:t>11</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 over the week</w:t>
      </w:r>
      <w:r w:rsidR="00BB1B4D">
        <w:rPr>
          <w:rFonts w:ascii="Calibri" w:hAnsi="Calibri" w:cs="Calibri"/>
          <w:color w:val="000000"/>
          <w:shd w:val="clear" w:color="auto" w:fill="FFFFFF"/>
        </w:rPr>
        <w:t xml:space="preserve">, </w:t>
      </w:r>
      <w:r>
        <w:rPr>
          <w:rFonts w:ascii="Calibri" w:hAnsi="Calibri" w:cs="Calibri"/>
          <w:color w:val="000000"/>
          <w:shd w:val="clear" w:color="auto" w:fill="FFFFFF"/>
        </w:rPr>
        <w:t>one was unchanged</w:t>
      </w:r>
      <w:r w:rsidR="00455371">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and </w:t>
      </w:r>
      <w:r>
        <w:rPr>
          <w:rFonts w:ascii="Calibri" w:hAnsi="Calibri" w:cs="Calibri"/>
          <w:color w:val="000000"/>
          <w:shd w:val="clear" w:color="auto" w:fill="FFFFFF"/>
        </w:rPr>
        <w:t>8</w:t>
      </w:r>
      <w:r w:rsidR="00462BF0">
        <w:rPr>
          <w:rFonts w:ascii="Calibri" w:hAnsi="Calibri" w:cs="Calibri"/>
          <w:color w:val="000000"/>
          <w:shd w:val="clear" w:color="auto" w:fill="FFFFFF"/>
        </w:rPr>
        <w:t xml:space="preserve"> se</w:t>
      </w:r>
      <w:r w:rsidR="00D851EF" w:rsidRPr="00B219BB">
        <w:rPr>
          <w:rFonts w:ascii="Calibri" w:hAnsi="Calibri" w:cs="Calibri"/>
          <w:color w:val="000000"/>
          <w:shd w:val="clear" w:color="auto" w:fill="FFFFFF"/>
        </w:rPr>
        <w:t xml:space="preserve">ctors had </w:t>
      </w:r>
      <w:r w:rsidR="00342800">
        <w:rPr>
          <w:rFonts w:ascii="Calibri" w:hAnsi="Calibri" w:cs="Calibri"/>
          <w:color w:val="000000"/>
          <w:shd w:val="clear" w:color="auto" w:fill="FFFFFF"/>
        </w:rPr>
        <w:t>in</w:t>
      </w:r>
      <w:r w:rsidR="00D851EF" w:rsidRPr="00B219BB">
        <w:rPr>
          <w:rFonts w:ascii="Calibri" w:hAnsi="Calibri" w:cs="Calibri"/>
          <w:color w:val="000000"/>
          <w:shd w:val="clear" w:color="auto" w:fill="FFFFFF"/>
        </w:rPr>
        <w:t>creases.</w:t>
      </w:r>
      <w:r w:rsidR="00467DD9">
        <w:rPr>
          <w:rFonts w:ascii="Calibri" w:hAnsi="Calibri" w:cs="Calibri"/>
          <w:color w:val="000000"/>
          <w:shd w:val="clear" w:color="auto" w:fill="FFFFFF"/>
        </w:rPr>
        <w:t xml:space="preserve"> </w:t>
      </w:r>
      <w:r w:rsidR="00D851EF" w:rsidRPr="00B219BB">
        <w:rPr>
          <w:rFonts w:ascii="Calibri" w:hAnsi="Calibri" w:cs="Calibri"/>
          <w:color w:val="000000"/>
          <w:shd w:val="clear" w:color="auto" w:fill="FFFFFF"/>
        </w:rPr>
        <w:t xml:space="preserve"> </w:t>
      </w:r>
      <w:r w:rsidR="00736BB3">
        <w:rPr>
          <w:rFonts w:ascii="Calibri" w:hAnsi="Calibri" w:cs="Calibri"/>
          <w:color w:val="000000"/>
          <w:shd w:val="clear" w:color="auto" w:fill="FFFFFF"/>
        </w:rPr>
        <w:t xml:space="preserve">Some of the </w:t>
      </w:r>
      <w:r w:rsidR="00D851EF"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Pr>
          <w:rFonts w:ascii="Calibri" w:hAnsi="Calibri" w:cs="Calibri"/>
          <w:color w:val="000000"/>
          <w:shd w:val="clear" w:color="auto" w:fill="FFFFFF"/>
        </w:rPr>
        <w:t>in</w:t>
      </w:r>
      <w:r w:rsidR="0023506D">
        <w:rPr>
          <w:rFonts w:ascii="Calibri" w:hAnsi="Calibri" w:cs="Calibri"/>
          <w:color w:val="000000"/>
          <w:shd w:val="clear" w:color="auto" w:fill="FFFFFF"/>
        </w:rPr>
        <w:t>creases</w:t>
      </w:r>
      <w:r w:rsidR="00D851EF" w:rsidRPr="00B219BB">
        <w:rPr>
          <w:rFonts w:ascii="Calibri" w:hAnsi="Calibri" w:cs="Calibri"/>
          <w:color w:val="000000"/>
          <w:shd w:val="clear" w:color="auto" w:fill="FFFFFF"/>
        </w:rPr>
        <w:t xml:space="preserve"> occurred in</w:t>
      </w:r>
      <w:r>
        <w:rPr>
          <w:rFonts w:ascii="Calibri" w:hAnsi="Calibri" w:cs="Calibri"/>
          <w:color w:val="000000"/>
          <w:shd w:val="clear" w:color="auto" w:fill="FFFFFF"/>
        </w:rPr>
        <w:t xml:space="preserve"> Retail Trade (+110% or +480 new postings), Other Services (+93% or +55 new postings) and Administrative and Support (+32% or +36 new postings).  </w:t>
      </w:r>
      <w:r w:rsidR="00A217F2">
        <w:rPr>
          <w:rFonts w:ascii="Calibri" w:hAnsi="Calibri" w:cs="Calibri"/>
          <w:color w:val="000000"/>
          <w:shd w:val="clear" w:color="auto" w:fill="FFFFFF"/>
        </w:rPr>
        <w:t xml:space="preserve">Though most sectors have new ad increase over the week, most are also below levels from 4 weeks ago.  </w:t>
      </w:r>
      <w:r w:rsidR="00C73EEE">
        <w:rPr>
          <w:rFonts w:ascii="Calibri" w:hAnsi="Calibri" w:cs="Calibri"/>
          <w:color w:val="000000"/>
          <w:shd w:val="clear" w:color="auto" w:fill="FFFFFF"/>
        </w:rPr>
        <w:t xml:space="preserve">The </w:t>
      </w:r>
      <w:r>
        <w:rPr>
          <w:rFonts w:ascii="Calibri" w:hAnsi="Calibri" w:cs="Calibri"/>
          <w:color w:val="000000"/>
          <w:shd w:val="clear" w:color="auto" w:fill="FFFFFF"/>
        </w:rPr>
        <w:t>eight</w:t>
      </w:r>
      <w:r w:rsidR="00C73EEE">
        <w:rPr>
          <w:rFonts w:ascii="Calibri" w:hAnsi="Calibri" w:cs="Calibri"/>
          <w:color w:val="000000"/>
          <w:shd w:val="clear" w:color="auto" w:fill="FFFFFF"/>
        </w:rPr>
        <w:t xml:space="preserve"> </w:t>
      </w:r>
      <w:r>
        <w:rPr>
          <w:rFonts w:ascii="Calibri" w:hAnsi="Calibri" w:cs="Calibri"/>
          <w:color w:val="000000"/>
          <w:shd w:val="clear" w:color="auto" w:fill="FFFFFF"/>
        </w:rPr>
        <w:t>sectors</w:t>
      </w:r>
      <w:r w:rsidR="00C73EEE">
        <w:rPr>
          <w:rFonts w:ascii="Calibri" w:hAnsi="Calibri" w:cs="Calibri"/>
          <w:color w:val="000000"/>
          <w:shd w:val="clear" w:color="auto" w:fill="FFFFFF"/>
        </w:rPr>
        <w:t xml:space="preserve"> with over the week percent </w:t>
      </w:r>
      <w:r w:rsidR="00467DD9">
        <w:rPr>
          <w:rFonts w:ascii="Calibri" w:hAnsi="Calibri" w:cs="Calibri"/>
          <w:color w:val="000000"/>
          <w:shd w:val="clear" w:color="auto" w:fill="FFFFFF"/>
        </w:rPr>
        <w:t>increases</w:t>
      </w:r>
      <w:r w:rsidR="00C73EEE">
        <w:rPr>
          <w:rFonts w:ascii="Calibri" w:hAnsi="Calibri" w:cs="Calibri"/>
          <w:color w:val="000000"/>
          <w:shd w:val="clear" w:color="auto" w:fill="FFFFFF"/>
        </w:rPr>
        <w:t xml:space="preserve"> </w:t>
      </w:r>
      <w:r w:rsidR="006A0C2E">
        <w:rPr>
          <w:rFonts w:ascii="Calibri" w:hAnsi="Calibri" w:cs="Calibri"/>
          <w:color w:val="000000"/>
          <w:shd w:val="clear" w:color="auto" w:fill="FFFFFF"/>
        </w:rPr>
        <w:t xml:space="preserve">include </w:t>
      </w:r>
      <w:r>
        <w:rPr>
          <w:rFonts w:ascii="Calibri" w:hAnsi="Calibri" w:cs="Calibri"/>
          <w:color w:val="000000"/>
          <w:shd w:val="clear" w:color="auto" w:fill="FFFFFF"/>
        </w:rPr>
        <w:t>Utilities (-75% or -42 new postings), Transportation and Warehousing (-71% or -335 new postings), Professional, Scientific, and Technical Services (-20% or -42 new postings) and Public Administration (-19% or -15 new postings).</w:t>
      </w:r>
      <w:r>
        <w:rPr>
          <w:rFonts w:ascii="Calibri" w:hAnsi="Calibri" w:cs="Calibri"/>
          <w:color w:val="000000"/>
          <w:shd w:val="clear" w:color="auto" w:fill="FFFFFF"/>
        </w:rPr>
        <w:br/>
      </w:r>
      <w:r w:rsidR="00BB1B4D">
        <w:rPr>
          <w:rFonts w:ascii="Calibri" w:hAnsi="Calibri" w:cs="Calibri"/>
          <w:color w:val="000000"/>
          <w:shd w:val="clear" w:color="auto" w:fill="FFFFFF"/>
        </w:rPr>
        <w:br/>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324B58B5"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7</w:t>
      </w:r>
      <w:r w:rsidRPr="0088622E">
        <w:rPr>
          <w:rFonts w:ascii="Calibri" w:hAnsi="Calibri" w:cs="Calibri"/>
          <w:b/>
          <w:color w:val="000000"/>
          <w:shd w:val="clear" w:color="auto" w:fill="FFFFFF"/>
        </w:rPr>
        <w:t>/</w:t>
      </w:r>
      <w:r w:rsidR="00654C4A">
        <w:rPr>
          <w:rFonts w:ascii="Calibri" w:hAnsi="Calibri" w:cs="Calibri"/>
          <w:b/>
          <w:color w:val="000000"/>
          <w:shd w:val="clear" w:color="auto" w:fill="FFFFFF"/>
        </w:rPr>
        <w:t>11</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27342DC4" w:rsidR="00543012" w:rsidRPr="0023390E" w:rsidRDefault="00654C4A" w:rsidP="00543012">
      <w:pPr>
        <w:pStyle w:val="ListParagraph"/>
        <w:numPr>
          <w:ilvl w:val="0"/>
          <w:numId w:val="2"/>
        </w:numPr>
        <w:rPr>
          <w:rFonts w:eastAsia="Times New Roman" w:cstheme="minorHAnsi"/>
          <w:b/>
          <w:bCs/>
        </w:rPr>
      </w:pPr>
      <w:r>
        <w:rPr>
          <w:rFonts w:eastAsia="Times New Roman" w:cstheme="minorHAnsi"/>
        </w:rPr>
        <w:t>First-Line Supervisors of Retail Sales Workers</w:t>
      </w:r>
      <w:r w:rsidR="00543012">
        <w:rPr>
          <w:rFonts w:eastAsia="Times New Roman" w:cstheme="minorHAnsi"/>
        </w:rPr>
        <w:t xml:space="preserve"> (</w:t>
      </w:r>
      <w:r>
        <w:rPr>
          <w:rFonts w:eastAsia="Times New Roman" w:cstheme="minorHAnsi"/>
        </w:rPr>
        <w:t>222</w:t>
      </w:r>
      <w:r w:rsidR="00543012">
        <w:rPr>
          <w:rFonts w:eastAsia="Times New Roman" w:cstheme="minorHAnsi"/>
        </w:rPr>
        <w:t xml:space="preserve"> new postings, </w:t>
      </w:r>
      <w:r w:rsidR="00736BB3">
        <w:rPr>
          <w:rFonts w:eastAsia="Times New Roman" w:cstheme="minorHAnsi"/>
        </w:rPr>
        <w:t>+</w:t>
      </w:r>
      <w:r>
        <w:rPr>
          <w:rFonts w:eastAsia="Times New Roman" w:cstheme="minorHAnsi"/>
        </w:rPr>
        <w:t>152</w:t>
      </w:r>
      <w:r w:rsidR="00D85328">
        <w:rPr>
          <w:rFonts w:eastAsia="Times New Roman" w:cstheme="minorHAnsi"/>
        </w:rPr>
        <w:t>%</w:t>
      </w:r>
      <w:r w:rsidR="00543012">
        <w:rPr>
          <w:rFonts w:eastAsia="Times New Roman" w:cstheme="minorHAnsi"/>
        </w:rPr>
        <w:t xml:space="preserve"> over the week)</w:t>
      </w:r>
    </w:p>
    <w:p w14:paraId="766006B1" w14:textId="0883288F" w:rsidR="00543012" w:rsidRPr="0088622E" w:rsidRDefault="00654C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543012"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212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62</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4DEED957" w:rsidR="00543012" w:rsidRPr="00DB1461" w:rsidRDefault="00654C4A"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125</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-27</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43991874" w:rsidR="00DB1461" w:rsidRDefault="00C679E2" w:rsidP="00DB1461">
      <w:pPr>
        <w:rPr>
          <w:rFonts w:eastAsia="Times New Roman" w:cstheme="minorHAnsi"/>
          <w:b/>
          <w:bCs/>
        </w:rPr>
      </w:pPr>
      <w:r w:rsidRPr="00C679E2">
        <w:rPr>
          <w:noProof/>
        </w:rPr>
        <w:drawing>
          <wp:inline distT="0" distB="0" distL="0" distR="0" wp14:anchorId="507DCCAF" wp14:editId="36436194">
            <wp:extent cx="6847840" cy="548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486400"/>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28BB4413" w:rsidR="00E07C3C" w:rsidRDefault="00E07C3C" w:rsidP="00542615">
      <w:pPr>
        <w:rPr>
          <w:rFonts w:ascii="Calibri" w:hAnsi="Calibri" w:cs="Calibri"/>
          <w:color w:val="000000"/>
          <w:shd w:val="clear" w:color="auto" w:fill="FFFFFF"/>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Ju</w:t>
      </w:r>
      <w:r w:rsidR="00542615">
        <w:rPr>
          <w:rFonts w:eastAsia="Times New Roman" w:cstheme="minorHAnsi"/>
        </w:rPr>
        <w:t xml:space="preserve">ly </w:t>
      </w:r>
      <w:r w:rsidR="00B10CEB">
        <w:rPr>
          <w:rFonts w:eastAsia="Times New Roman" w:cstheme="minorHAnsi"/>
        </w:rPr>
        <w:t>11</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w:t>
      </w:r>
      <w:r w:rsidR="00B10CEB">
        <w:rPr>
          <w:rFonts w:eastAsia="Times New Roman" w:cstheme="minorHAnsi"/>
        </w:rPr>
        <w:t xml:space="preserve">Retail Trade, </w:t>
      </w:r>
      <w:r w:rsidR="00F76FD7">
        <w:rPr>
          <w:rFonts w:eastAsia="Times New Roman" w:cstheme="minorHAnsi"/>
        </w:rPr>
        <w:t>Healthc</w:t>
      </w:r>
      <w:r w:rsidR="00542615">
        <w:rPr>
          <w:rFonts w:eastAsia="Times New Roman" w:cstheme="minorHAnsi"/>
        </w:rPr>
        <w:t>are,</w:t>
      </w:r>
      <w:r w:rsidR="00B10CEB">
        <w:rPr>
          <w:rFonts w:eastAsia="Times New Roman" w:cstheme="minorHAnsi"/>
        </w:rPr>
        <w:t xml:space="preserve"> and </w:t>
      </w:r>
      <w:r w:rsidR="00F76FD7">
        <w:rPr>
          <w:rFonts w:eastAsia="Times New Roman" w:cstheme="minorHAnsi"/>
        </w:rPr>
        <w:t>Finance &amp; Insurance</w:t>
      </w:r>
      <w:r w:rsidR="00B10CEB">
        <w:rPr>
          <w:rFonts w:eastAsia="Times New Roman" w:cstheme="minorHAnsi"/>
        </w:rPr>
        <w:t>.</w:t>
      </w:r>
      <w:r w:rsidR="005525E3">
        <w:rPr>
          <w:rFonts w:eastAsia="Times New Roman" w:cstheme="minorHAnsi"/>
        </w:rPr>
        <w:t xml:space="preserve"> </w:t>
      </w:r>
      <w:r w:rsidR="00B10CEB">
        <w:rPr>
          <w:rFonts w:eastAsia="Times New Roman" w:cstheme="minorHAnsi"/>
        </w:rPr>
        <w:t xml:space="preserve"> Half of the top ten employers are in the Retail Trade industry,</w:t>
      </w:r>
      <w:r w:rsidR="00A217F2">
        <w:rPr>
          <w:rFonts w:eastAsia="Times New Roman" w:cstheme="minorHAnsi"/>
        </w:rPr>
        <w:t xml:space="preserve"> which is up 110% over the week and corresponds with</w:t>
      </w:r>
      <w:r w:rsidR="00B10CEB">
        <w:rPr>
          <w:rFonts w:eastAsia="Times New Roman" w:cstheme="minorHAnsi"/>
        </w:rPr>
        <w:t xml:space="preserve"> strong new ads</w:t>
      </w:r>
      <w:r w:rsidR="00A217F2">
        <w:rPr>
          <w:rFonts w:eastAsia="Times New Roman" w:cstheme="minorHAnsi"/>
        </w:rPr>
        <w:t xml:space="preserve"> increases</w:t>
      </w:r>
      <w:r w:rsidR="00B10CEB">
        <w:rPr>
          <w:rFonts w:eastAsia="Times New Roman" w:cstheme="minorHAnsi"/>
        </w:rPr>
        <w:t xml:space="preserve"> for Retail Salespersons and Supervisors of Retail Sales Workers.  8 out of the 10 employers with the most new ads had a new ad increase over the week.</w:t>
      </w:r>
      <w:r w:rsidR="00542615">
        <w:rPr>
          <w:rFonts w:eastAsia="Times New Roman" w:cstheme="minorHAnsi"/>
        </w:rPr>
        <w:t xml:space="preserve"> </w:t>
      </w:r>
    </w:p>
    <w:p w14:paraId="14C157F0" w14:textId="1FC035AC" w:rsidR="00DB1461" w:rsidRDefault="00F76FD7" w:rsidP="009B077F">
      <w:pPr>
        <w:rPr>
          <w:rFonts w:ascii="Calibri" w:hAnsi="Calibri" w:cs="Calibri"/>
          <w:color w:val="000000"/>
          <w:shd w:val="clear" w:color="auto" w:fill="FFFFFF"/>
        </w:rPr>
      </w:pPr>
      <w:r>
        <w:t xml:space="preserve">                       </w:t>
      </w:r>
      <w:r w:rsidR="00654C4A" w:rsidRPr="00654C4A">
        <w:rPr>
          <w:noProof/>
        </w:rPr>
        <w:drawing>
          <wp:inline distT="0" distB="0" distL="0" distR="0" wp14:anchorId="63D5E2D9" wp14:editId="525EF3EA">
            <wp:extent cx="5111750" cy="2887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1750" cy="2887345"/>
                    </a:xfrm>
                    <a:prstGeom prst="rect">
                      <a:avLst/>
                    </a:prstGeom>
                    <a:noFill/>
                    <a:ln>
                      <a:noFill/>
                    </a:ln>
                  </pic:spPr>
                </pic:pic>
              </a:graphicData>
            </a:graphic>
          </wp:inline>
        </w:drawing>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B1784" w14:textId="77777777" w:rsidR="00521D79" w:rsidRDefault="00521D79" w:rsidP="00D01564">
      <w:pPr>
        <w:spacing w:after="0" w:line="240" w:lineRule="auto"/>
      </w:pPr>
      <w:r>
        <w:separator/>
      </w:r>
    </w:p>
  </w:endnote>
  <w:endnote w:type="continuationSeparator" w:id="0">
    <w:p w14:paraId="5EEF151D" w14:textId="77777777" w:rsidR="00521D79" w:rsidRDefault="00521D7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B72E6B">
          <w:rPr>
            <w:noProof/>
          </w:rPr>
          <w:t>4</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6C83C" w14:textId="77777777" w:rsidR="00521D79" w:rsidRDefault="00521D79" w:rsidP="00D01564">
      <w:pPr>
        <w:spacing w:after="0" w:line="240" w:lineRule="auto"/>
      </w:pPr>
      <w:r>
        <w:separator/>
      </w:r>
    </w:p>
  </w:footnote>
  <w:footnote w:type="continuationSeparator" w:id="0">
    <w:p w14:paraId="4E231F9D" w14:textId="77777777" w:rsidR="00521D79" w:rsidRDefault="00521D79"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10AE0"/>
    <w:rsid w:val="0021153A"/>
    <w:rsid w:val="00212B90"/>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7263E"/>
    <w:rsid w:val="0027281B"/>
    <w:rsid w:val="0027658B"/>
    <w:rsid w:val="00280927"/>
    <w:rsid w:val="002810F5"/>
    <w:rsid w:val="002827DF"/>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0B45"/>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16518"/>
    <w:rsid w:val="003217F1"/>
    <w:rsid w:val="00322B55"/>
    <w:rsid w:val="003253C7"/>
    <w:rsid w:val="00333397"/>
    <w:rsid w:val="00341912"/>
    <w:rsid w:val="00342800"/>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37B56"/>
    <w:rsid w:val="0044614B"/>
    <w:rsid w:val="00446580"/>
    <w:rsid w:val="004475D3"/>
    <w:rsid w:val="00450C98"/>
    <w:rsid w:val="00451DAC"/>
    <w:rsid w:val="00452CDC"/>
    <w:rsid w:val="00455371"/>
    <w:rsid w:val="00455DCD"/>
    <w:rsid w:val="00461280"/>
    <w:rsid w:val="00462BF0"/>
    <w:rsid w:val="00465459"/>
    <w:rsid w:val="00467DD9"/>
    <w:rsid w:val="00471C8A"/>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20D02"/>
    <w:rsid w:val="00520E0D"/>
    <w:rsid w:val="00521D79"/>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C19EB"/>
    <w:rsid w:val="005D058B"/>
    <w:rsid w:val="005D0B53"/>
    <w:rsid w:val="005D224C"/>
    <w:rsid w:val="005F4716"/>
    <w:rsid w:val="00603716"/>
    <w:rsid w:val="006203C3"/>
    <w:rsid w:val="0062694C"/>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6F74FF"/>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910F0"/>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573B"/>
    <w:rsid w:val="00861040"/>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10856"/>
    <w:rsid w:val="00912C78"/>
    <w:rsid w:val="00933A8F"/>
    <w:rsid w:val="009378A2"/>
    <w:rsid w:val="00942737"/>
    <w:rsid w:val="009435B8"/>
    <w:rsid w:val="00944DBB"/>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33C8D"/>
    <w:rsid w:val="00A357A8"/>
    <w:rsid w:val="00A3658F"/>
    <w:rsid w:val="00A369AC"/>
    <w:rsid w:val="00A37487"/>
    <w:rsid w:val="00A40D40"/>
    <w:rsid w:val="00A43439"/>
    <w:rsid w:val="00A47202"/>
    <w:rsid w:val="00A50F25"/>
    <w:rsid w:val="00A54D63"/>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0CEB"/>
    <w:rsid w:val="00B114F7"/>
    <w:rsid w:val="00B11948"/>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72E6B"/>
    <w:rsid w:val="00B84D09"/>
    <w:rsid w:val="00B9206D"/>
    <w:rsid w:val="00B97124"/>
    <w:rsid w:val="00BA15C9"/>
    <w:rsid w:val="00BA19B3"/>
    <w:rsid w:val="00BA5D8C"/>
    <w:rsid w:val="00BB0260"/>
    <w:rsid w:val="00BB11D2"/>
    <w:rsid w:val="00BB1B4D"/>
    <w:rsid w:val="00BB71B3"/>
    <w:rsid w:val="00BC040C"/>
    <w:rsid w:val="00BC20D7"/>
    <w:rsid w:val="00BC3FE9"/>
    <w:rsid w:val="00BC4BC8"/>
    <w:rsid w:val="00BC534F"/>
    <w:rsid w:val="00BD0894"/>
    <w:rsid w:val="00BD16A7"/>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46B59"/>
    <w:rsid w:val="00C56923"/>
    <w:rsid w:val="00C679E2"/>
    <w:rsid w:val="00C71599"/>
    <w:rsid w:val="00C73EEE"/>
    <w:rsid w:val="00C77024"/>
    <w:rsid w:val="00C77ECD"/>
    <w:rsid w:val="00C82870"/>
    <w:rsid w:val="00C8458E"/>
    <w:rsid w:val="00C85131"/>
    <w:rsid w:val="00C87CCB"/>
    <w:rsid w:val="00C91631"/>
    <w:rsid w:val="00C93B67"/>
    <w:rsid w:val="00C9629D"/>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8C9"/>
    <w:rsid w:val="00D12983"/>
    <w:rsid w:val="00D171DE"/>
    <w:rsid w:val="00D204BE"/>
    <w:rsid w:val="00D214BA"/>
    <w:rsid w:val="00D21960"/>
    <w:rsid w:val="00D31FD2"/>
    <w:rsid w:val="00D347CA"/>
    <w:rsid w:val="00D42F0A"/>
    <w:rsid w:val="00D43D84"/>
    <w:rsid w:val="00D44353"/>
    <w:rsid w:val="00D445E7"/>
    <w:rsid w:val="00D4480F"/>
    <w:rsid w:val="00D45BFB"/>
    <w:rsid w:val="00D604C2"/>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663C"/>
    <w:rsid w:val="00F16D78"/>
    <w:rsid w:val="00F23202"/>
    <w:rsid w:val="00F26DE2"/>
    <w:rsid w:val="00F3038E"/>
    <w:rsid w:val="00F30683"/>
    <w:rsid w:val="00F323C2"/>
    <w:rsid w:val="00F357EA"/>
    <w:rsid w:val="00F35E31"/>
    <w:rsid w:val="00F378C6"/>
    <w:rsid w:val="00F40B4B"/>
    <w:rsid w:val="00F453E7"/>
    <w:rsid w:val="00F502E3"/>
    <w:rsid w:val="00F6039D"/>
    <w:rsid w:val="00F628B3"/>
    <w:rsid w:val="00F62C17"/>
    <w:rsid w:val="00F667FC"/>
    <w:rsid w:val="00F67C0D"/>
    <w:rsid w:val="00F70032"/>
    <w:rsid w:val="00F70C1D"/>
    <w:rsid w:val="00F753C8"/>
    <w:rsid w:val="00F76FD7"/>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7/11/20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Report4_Data!$B$32:$B$59</c:f>
              <c:numCache>
                <c:formatCode>m/d/yy;@</c:formatCode>
                <c:ptCount val="28"/>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numCache>
            </c:numRef>
          </c:cat>
          <c:val>
            <c:numRef>
              <c:f>Report4_Data!$C$32:$C$59</c:f>
              <c:numCache>
                <c:formatCode>General</c:formatCode>
                <c:ptCount val="28"/>
                <c:pt idx="0">
                  <c:v>5124</c:v>
                </c:pt>
                <c:pt idx="1">
                  <c:v>5520</c:v>
                </c:pt>
                <c:pt idx="2">
                  <c:v>4815</c:v>
                </c:pt>
                <c:pt idx="3">
                  <c:v>4844</c:v>
                </c:pt>
                <c:pt idx="4">
                  <c:v>5843</c:v>
                </c:pt>
                <c:pt idx="5">
                  <c:v>5739</c:v>
                </c:pt>
                <c:pt idx="6">
                  <c:v>7788</c:v>
                </c:pt>
                <c:pt idx="7">
                  <c:v>5970</c:v>
                </c:pt>
                <c:pt idx="8">
                  <c:v>5371</c:v>
                </c:pt>
                <c:pt idx="9">
                  <c:v>7417</c:v>
                </c:pt>
                <c:pt idx="10">
                  <c:v>4577</c:v>
                </c:pt>
                <c:pt idx="11">
                  <c:v>5598</c:v>
                </c:pt>
                <c:pt idx="12">
                  <c:v>3529</c:v>
                </c:pt>
                <c:pt idx="13">
                  <c:v>3495</c:v>
                </c:pt>
                <c:pt idx="14">
                  <c:v>2835</c:v>
                </c:pt>
                <c:pt idx="15">
                  <c:v>2824</c:v>
                </c:pt>
                <c:pt idx="16">
                  <c:v>3035</c:v>
                </c:pt>
                <c:pt idx="17">
                  <c:v>2273</c:v>
                </c:pt>
                <c:pt idx="18">
                  <c:v>3220</c:v>
                </c:pt>
                <c:pt idx="19">
                  <c:v>2296</c:v>
                </c:pt>
                <c:pt idx="20">
                  <c:v>3785</c:v>
                </c:pt>
                <c:pt idx="21">
                  <c:v>4341</c:v>
                </c:pt>
                <c:pt idx="22">
                  <c:v>4707</c:v>
                </c:pt>
                <c:pt idx="23">
                  <c:v>6117</c:v>
                </c:pt>
                <c:pt idx="24">
                  <c:v>5051</c:v>
                </c:pt>
                <c:pt idx="25">
                  <c:v>5779</c:v>
                </c:pt>
                <c:pt idx="26">
                  <c:v>4410</c:v>
                </c:pt>
                <c:pt idx="27">
                  <c:v>4755</c:v>
                </c:pt>
              </c:numCache>
            </c:numRef>
          </c:val>
          <c:smooth val="0"/>
          <c:extLst xmlns:c16r2="http://schemas.microsoft.com/office/drawing/2015/06/chart">
            <c:ext xmlns:c16="http://schemas.microsoft.com/office/drawing/2014/chart" uri="{C3380CC4-5D6E-409C-BE32-E72D297353CC}">
              <c16:uniqueId val="{00000000-DC83-449D-BB43-A244B27A31D1}"/>
            </c:ext>
          </c:extLst>
        </c:ser>
        <c:dLbls>
          <c:showLegendKey val="0"/>
          <c:showVal val="0"/>
          <c:showCatName val="0"/>
          <c:showSerName val="0"/>
          <c:showPercent val="0"/>
          <c:showBubbleSize val="0"/>
        </c:dLbls>
        <c:marker val="1"/>
        <c:smooth val="0"/>
        <c:axId val="135827840"/>
        <c:axId val="135830144"/>
      </c:lineChart>
      <c:dateAx>
        <c:axId val="135827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30144"/>
        <c:crosses val="autoZero"/>
        <c:auto val="1"/>
        <c:lblOffset val="100"/>
        <c:baseTimeUnit val="days"/>
      </c:dateAx>
      <c:valAx>
        <c:axId val="135830144"/>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827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0.6971</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773600" y="2343572"/>
          <a:ext cx="2074240" cy="249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0B31-08C3-4654-ACF3-4103F25B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2020-07-20T14:36:00Z</dcterms:created>
  <dcterms:modified xsi:type="dcterms:W3CDTF">2020-07-20T14:36:00Z</dcterms:modified>
</cp:coreProperties>
</file>